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Compte-rendu de chantier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de compte-rendu de réunion de chantier — diffusable aux intervenants.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Diffusé aux intervenants et non contesté dans le délai indiqué, le compte-rendu est réputé approuvé et fait foi du déroulé de la réunion. Indiquer pour chaque action un responsable et un délai.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En-tête</w:t>
      </w:r>
    </w:p>
    <w:p>
      <w:pPr>
        <w:spacing w:before="0" w:after="120"/>
      </w:pPr>
      <w:r>
        <w:rPr>
          <w:b/>
          <w:sz w:val="22"/>
          <w:szCs w:val="22"/>
        </w:rPr>
        <w:t xml:space="preserve">Chantier / opération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N° de compte-rendu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de la réunion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Maître d'ouvrage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Maître d'œuvre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Participants</w:t>
      </w:r>
    </w:p>
    <w:tbl>
      <w:tblPr>
        <w:tblW w:w="9635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4283"/>
        <w:gridCol w:w="3212"/>
        <w:gridCol w:w="1070"/>
        <w:gridCol w:w="1070"/>
      </w:tblGrid>
      <w:tr>
        <w:tc>
          <w:tcPr>
            <w:tcW w:w="428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Nom / société</w:t>
            </w:r>
          </w:p>
        </w:tc>
        <w:tc>
          <w:tcPr>
            <w:tcW w:w="321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Lot / rôle</w:t>
            </w:r>
          </w:p>
        </w:tc>
        <w:tc>
          <w:tcPr>
            <w:tcW w:w="107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Présent</w:t>
            </w:r>
          </w:p>
        </w:tc>
        <w:tc>
          <w:tcPr>
            <w:tcW w:w="1070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Excusé</w:t>
            </w:r>
          </w:p>
        </w:tc>
      </w:tr>
      <w:tr>
        <w:tc>
          <w:tcPr>
            <w:tcW w:w="428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28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28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28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28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70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Avancement par lot</w:t>
      </w:r>
    </w:p>
    <w:tbl>
      <w:tblPr>
        <w:tblW w:w="9637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2891"/>
        <w:gridCol w:w="2891"/>
        <w:gridCol w:w="3855"/>
      </w:tblGrid>
      <w:tr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Lot</w:t>
            </w:r>
          </w:p>
        </w:tc>
        <w:tc>
          <w:tcPr>
            <w:tcW w:w="2891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Avancement</w:t>
            </w:r>
          </w:p>
        </w:tc>
        <w:tc>
          <w:tcPr>
            <w:tcW w:w="3855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Observations / aléas</w:t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Gros œuvre</w:t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Second œuvre</w:t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Lots techniques (élec, plomberie, CVC)</w:t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891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855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Réserves et points de vigilance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876"/>
        <w:gridCol w:w="1752"/>
        <w:gridCol w:w="1752"/>
        <w:gridCol w:w="3504"/>
        <w:gridCol w:w="876"/>
        <w:gridCol w:w="876"/>
      </w:tblGrid>
      <w:tr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N°</w:t>
            </w:r>
          </w:p>
        </w:tc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Lot</w:t>
            </w:r>
          </w:p>
        </w:tc>
        <w:tc>
          <w:tcPr>
            <w:tcW w:w="175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Localisation</w:t>
            </w:r>
          </w:p>
        </w:tc>
        <w:tc>
          <w:tcPr>
            <w:tcW w:w="3504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Échéance</w:t>
            </w:r>
          </w:p>
        </w:tc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Statut</w:t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75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Décisions et actions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5782"/>
        <w:gridCol w:w="1927"/>
        <w:gridCol w:w="1927"/>
      </w:tblGrid>
      <w:tr>
        <w:tc>
          <w:tcPr>
            <w:tcW w:w="578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Action / décision</w:t>
            </w:r>
          </w:p>
        </w:tc>
        <w:tc>
          <w:tcPr>
            <w:tcW w:w="1927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Responsable</w:t>
            </w:r>
          </w:p>
        </w:tc>
        <w:tc>
          <w:tcPr>
            <w:tcW w:w="1927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Délai</w:t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578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927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6. Planning et prochaine réunion</w:t>
      </w:r>
    </w:p>
    <w:p>
      <w:pPr>
        <w:spacing w:before="0" w:after="120"/>
      </w:pPr>
      <w:r>
        <w:rPr>
          <w:b/>
          <w:sz w:val="22"/>
          <w:szCs w:val="22"/>
        </w:rPr>
        <w:t xml:space="preserve">État d'avancement global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Date de la prochaine visite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