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Procès-verbal de constat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de constat — la valeur probante résulte de la signature du commissaire de justice.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Le constat doit relater des CONSTATATIONS PUREMENT MATÉRIELLES, à l'exclusion de tout avis sur les conséquences de fait ou de droit. Rattacher chaque photo, horodatée, à l'observation correspondante.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En-tête</w:t>
      </w:r>
    </w:p>
    <w:p>
      <w:pPr>
        <w:spacing w:before="0" w:after="120"/>
      </w:pPr>
      <w:r>
        <w:rPr>
          <w:b/>
          <w:sz w:val="22"/>
          <w:szCs w:val="22"/>
        </w:rPr>
        <w:t xml:space="preserve">Étude / commissaire de justice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Requérant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et heure d'arrivée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Lieu du constat (adresse)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Objet du constat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Conditions du constat</w:t>
      </w:r>
    </w:p>
    <w:p>
      <w:pPr>
        <w:spacing w:before="0" w:after="120"/>
      </w:pPr>
      <w:r>
        <w:rPr>
          <w:b/>
          <w:sz w:val="22"/>
          <w:szCs w:val="22"/>
        </w:rPr>
        <w:t xml:space="preserve">Conditions d'accès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Personnes présentes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Constatations (chronologiques)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Décrire les faits dans l'ordre où ils sont observés, pièce par pièce ou poste par poste.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1070"/>
        <w:gridCol w:w="7496"/>
        <w:gridCol w:w="1070"/>
      </w:tblGrid>
      <w:tr>
        <w:tc>
          <w:tcPr>
            <w:tcW w:w="107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Heure</w:t>
            </w:r>
          </w:p>
        </w:tc>
        <w:tc>
          <w:tcPr>
            <w:tcW w:w="749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Constatation (faits matériels)</w:t>
            </w:r>
          </w:p>
        </w:tc>
        <w:tc>
          <w:tcPr>
            <w:tcW w:w="107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Photo n°</w:t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749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Tableau des photographies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1070"/>
        <w:gridCol w:w="2141"/>
        <w:gridCol w:w="6425"/>
      </w:tblGrid>
      <w:tr>
        <w:tc>
          <w:tcPr>
            <w:tcW w:w="107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Photo n°</w:t>
            </w:r>
          </w:p>
        </w:tc>
        <w:tc>
          <w:tcPr>
            <w:tcW w:w="214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Horodatage</w:t>
            </w:r>
          </w:p>
        </w:tc>
        <w:tc>
          <w:tcPr>
            <w:tcW w:w="642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Légende / objet</w:t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14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42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14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42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14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42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14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42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14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42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Clôture</w:t>
      </w:r>
    </w:p>
    <w:p>
      <w:pPr>
        <w:spacing w:before="0" w:after="120"/>
      </w:pPr>
      <w:r>
        <w:rPr>
          <w:b/>
          <w:sz w:val="22"/>
          <w:szCs w:val="22"/>
        </w:rPr>
        <w:t xml:space="preserve">Heure de clôture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Mentions de fin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160" w:after="120"/>
      </w:pPr>
      <w:r>
        <w:rPr>
          <w:b/>
          <w:sz w:val="22"/>
          <w:szCs w:val="22"/>
        </w:rPr>
        <w:t xml:space="preserve">Signature du commissaire de justice : </w:t>
      </w:r>
      <w:r>
        <w:rPr>
          <w:color w:val="ADB5BD"/>
          <w:sz w:val="22"/>
          <w:szCs w:val="22"/>
        </w:rPr>
        <w:t xml:space="preserve">……………………………………</w:t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