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spacing w:before="0" w:after="40"/>
      </w:pPr>
      <w:r>
        <w:rPr>
          <w:b/>
          <w:color w:val="1B4332"/>
          <w:sz w:val="40"/>
          <w:szCs w:val="40"/>
        </w:rPr>
        <w:t xml:space="preserve">Inventaire de succession (inventaire après décès)</w:t>
      </w:r>
    </w:p>
    <w:p>
      <w:pPr>
        <w:spacing w:before="0" w:after="200"/>
      </w:pPr>
      <w:r>
        <w:rPr>
          <w:color w:val="6C757D"/>
          <w:sz w:val="20"/>
          <w:szCs w:val="20"/>
        </w:rPr>
        <w:t xml:space="preserve">Modèle à compléter — à adapter au gabarit de votre office.</w:t>
      </w:r>
    </w:p>
    <w:p>
      <w:pPr>
        <w:spacing w:before="0" w:after="160"/>
      </w:pPr>
      <w:r>
        <w:rPr>
          <w:i/>
          <w:color w:val="6C757D"/>
          <w:sz w:val="18"/>
          <w:szCs w:val="18"/>
        </w:rPr>
        <w:t xml:space="preserve">ℹ  L'estimation se fait à la VALEUR VÉNALE au jour du décès. Réaliser un inventaire chiffré peut être plus avantageux que le forfait mobilier de 5 % de l'actif brut lorsque le mobilier réel vaut moins.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1. Office et dossier</w:t>
      </w:r>
    </w:p>
    <w:p>
      <w:pPr>
        <w:spacing w:before="0" w:after="120"/>
      </w:pPr>
      <w:r>
        <w:rPr>
          <w:b/>
          <w:sz w:val="22"/>
          <w:szCs w:val="22"/>
        </w:rPr>
        <w:t xml:space="preserve">Office notarial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Notaire en charge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Référence dossier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Date de l'inventaire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2. État civil du défunt</w:t>
      </w:r>
    </w:p>
    <w:p>
      <w:pPr>
        <w:spacing w:before="0" w:after="120"/>
      </w:pPr>
      <w:r>
        <w:rPr>
          <w:b/>
          <w:sz w:val="22"/>
          <w:szCs w:val="22"/>
        </w:rPr>
        <w:t xml:space="preserve">Nom et prénoms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Né(e) le / à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Décédé(e) le / à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Dernier domicile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Profession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Régime matrimonial / contrat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3. Héritiers et comparants</w:t>
      </w:r>
    </w:p>
    <w:tbl>
      <w:tblPr>
        <w:tblW w:w="9637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3855"/>
        <w:gridCol w:w="2891"/>
        <w:gridCol w:w="2891"/>
      </w:tblGrid>
      <w:tr>
        <w:tc>
          <w:tcPr>
            <w:tcW w:w="3855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Nom et prénoms</w:t>
            </w:r>
          </w:p>
        </w:tc>
        <w:tc>
          <w:tcPr>
            <w:tcW w:w="2891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Lien de parenté</w:t>
            </w:r>
          </w:p>
        </w:tc>
        <w:tc>
          <w:tcPr>
            <w:tcW w:w="2891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Qualité (héritier, légataire…)</w:t>
            </w:r>
          </w:p>
        </w:tc>
      </w:tr>
      <w:tr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4. Inventaire par pièce</w:t>
      </w:r>
    </w:p>
    <w:p>
      <w:pPr>
        <w:spacing w:before="0" w:after="160"/>
      </w:pPr>
      <w:r>
        <w:rPr>
          <w:i/>
          <w:color w:val="6C757D"/>
          <w:sz w:val="18"/>
          <w:szCs w:val="18"/>
        </w:rPr>
        <w:t xml:space="preserve">ℹ  Décrire chaque bien et l'estimer à sa valeur vénale. Photographier les objets de valeur.</w:t>
      </w:r>
    </w:p>
    <w:tbl>
      <w:tblPr>
        <w:tblW w:w="9636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1752"/>
        <w:gridCol w:w="3504"/>
        <w:gridCol w:w="2628"/>
        <w:gridCol w:w="1752"/>
      </w:tblGrid>
      <w:tr>
        <w:tc>
          <w:tcPr>
            <w:tcW w:w="1752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Pièce</w:t>
            </w:r>
          </w:p>
        </w:tc>
        <w:tc>
          <w:tcPr>
            <w:tcW w:w="3504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Désignation du bien</w:t>
            </w:r>
          </w:p>
        </w:tc>
        <w:tc>
          <w:tcPr>
            <w:tcW w:w="2628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État / description</w:t>
            </w:r>
          </w:p>
        </w:tc>
        <w:tc>
          <w:tcPr>
            <w:tcW w:w="1752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Estimation (€)</w:t>
            </w:r>
          </w:p>
        </w:tc>
      </w:tr>
      <w:tr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Salon</w:t>
            </w:r>
          </w:p>
        </w:tc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Salle à manger</w:t>
            </w:r>
          </w:p>
        </w:tc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Cuisine</w:t>
            </w:r>
          </w:p>
        </w:tc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Chambre(s)</w:t>
            </w:r>
          </w:p>
        </w:tc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Salle de bain</w:t>
            </w:r>
          </w:p>
        </w:tc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Extérieur / cave / grenier</w:t>
            </w:r>
          </w:p>
        </w:tc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5. Objets de valeur, espèces et comptes</w:t>
      </w:r>
    </w:p>
    <w:tbl>
      <w:tblPr>
        <w:tblW w:w="9637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3855"/>
        <w:gridCol w:w="3855"/>
        <w:gridCol w:w="1927"/>
      </w:tblGrid>
      <w:tr>
        <w:tc>
          <w:tcPr>
            <w:tcW w:w="3855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Nature (bijou, œuvre, espèces, titres…)</w:t>
            </w:r>
          </w:p>
        </w:tc>
        <w:tc>
          <w:tcPr>
            <w:tcW w:w="3855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Description / référence</w:t>
            </w:r>
          </w:p>
        </w:tc>
        <w:tc>
          <w:tcPr>
            <w:tcW w:w="1927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Estimation (€)</w:t>
            </w:r>
          </w:p>
        </w:tc>
      </w:tr>
      <w:tr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6. Passif de la succession</w:t>
      </w:r>
    </w:p>
    <w:tbl>
      <w:tblPr>
        <w:tblW w:w="9637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3855"/>
        <w:gridCol w:w="3855"/>
        <w:gridCol w:w="1927"/>
      </w:tblGrid>
      <w:tr>
        <w:tc>
          <w:tcPr>
            <w:tcW w:w="3855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Nature de la dette / charge</w:t>
            </w:r>
          </w:p>
        </w:tc>
        <w:tc>
          <w:tcPr>
            <w:tcW w:w="3855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Créancier</w:t>
            </w:r>
          </w:p>
        </w:tc>
        <w:tc>
          <w:tcPr>
            <w:tcW w:w="1927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Montant (€)</w:t>
            </w:r>
          </w:p>
        </w:tc>
      </w:tr>
      <w:tr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7. Récapitulatif</w:t>
      </w:r>
    </w:p>
    <w:tbl>
      <w:tblPr>
        <w:tblW w:w="9637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5782"/>
        <w:gridCol w:w="3855"/>
      </w:tblGrid>
      <w:tr>
        <w:tc>
          <w:tcPr>
            <w:tcW w:w="5782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Montant (€)</w:t>
            </w:r>
          </w:p>
        </w:tc>
      </w:tr>
      <w:tr>
        <w:tc>
          <w:tcPr>
            <w:tcW w:w="578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Total actif brut</w:t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578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Total passif</w:t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578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Actif net successoral</w:t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8. Clôture et signatures</w:t>
      </w:r>
    </w:p>
    <w:p>
      <w:pPr>
        <w:spacing w:before="0" w:after="120"/>
      </w:pPr>
      <w:r>
        <w:rPr>
          <w:sz w:val="22"/>
          <w:szCs w:val="22"/>
        </w:rPr>
        <w:t xml:space="preserve">Les comparants affirment sincère et véritable le présent inventaire.</w:t>
      </w:r>
    </w:p>
    <w:tbl>
      <w:tblPr>
        <w:tblW w:w="9638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4819"/>
        <w:gridCol w:w="4819"/>
      </w:tblGrid>
      <w:tr>
        <w:tc>
          <w:tcPr>
            <w:tcW w:w="4819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Le notaire</w:t>
            </w:r>
          </w:p>
        </w:tc>
        <w:tc>
          <w:tcPr>
            <w:tcW w:w="4819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Les héritiers / comparants</w:t>
            </w:r>
          </w:p>
        </w:tc>
      </w:tr>
      <w:tr>
        <w:tc>
          <w:tcPr>
            <w:tcW w:w="4819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4819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4819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4819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400" w:after="120"/>
      </w:pPr>
      <w:r>
        <w:rPr>
          <w:i/>
          <w:color w:val="6C757D"/>
          <w:sz w:val="18"/>
          <w:szCs w:val="18"/>
        </w:rPr>
        <w:t xml:space="preserve">Modèle gratuit fourni par VoxActe — dictez ce rapport directement sur le terrain et générez-le automatiquement (rapport conforme prêt à signer) sur voxacte.com.</w:t>
      </w:r>
    </w:p>
    <w:sectPr>
      <w:pgSz w:w="11906" w:h="16838"/>
      <w:pgMar w:top="1134" w:right="1134" w:bottom="1134" w:left="1134"/>
    </w:sectPr>
  </w:body>
</w:document>
</file>

<file path=word/numbering.xml><?xml version="1.0" encoding="utf-8"?>
<w:numbering xmlns:w="http://schemas.openxmlformats.org/wordprocessingml/2006/main">
  <w:abstractNum w:abstractNumId="0">
    <w:lvl w:ilvl="0">
      <w:numFmt w:val="bullet"/>
      <w:lvlText w:val="•"/>
      <w:lvlJc w:val="left"/>
      <w:pPr>
        <w:ind w:left="360" w:hanging="360"/>
      </w:pPr>
    </w:lvl>
  </w:abstractNum>
  <w:num w:numId="1">
    <w:abstractNumId w:val="0"/>
  </w:num>
</w:numbering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numbering" Target="numbering.xml"/>
</Relationships>
</file>