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Procès-verbal de réception de travaux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conforme à l'article 1792-6 du Code civil — réception avec ou sans réserves.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La réception déclenche les garanties légales : parfait achèvement (1 an), bon fonctionnement (2 ans), décennale (10 ans). La retenue de garantie (max 5 %, loi du 16/07/1971) est libérée 1 an après réception.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Identification</w:t>
      </w:r>
    </w:p>
    <w:p>
      <w:pPr>
        <w:spacing w:before="0" w:after="120"/>
      </w:pPr>
      <w:r>
        <w:rPr>
          <w:b/>
          <w:sz w:val="22"/>
          <w:szCs w:val="22"/>
        </w:rPr>
        <w:t xml:space="preserve">Opération / ouvrage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Maître d'ouvrage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Maître d'œuvre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Entreprise(s)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de la réception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Décision de réception</w:t>
      </w:r>
    </w:p>
    <w:p>
      <w:pPr>
        <w:spacing w:before="0"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Réception SANS réserve</w:t>
      </w:r>
    </w:p>
    <w:p>
      <w:pPr>
        <w:spacing w:before="0"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Réception AVEC réserves (cf. tableau ci-dessous)</w:t>
      </w:r>
    </w:p>
    <w:p>
      <w:pPr>
        <w:spacing w:before="0"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Refus de réception (motifs en annexe)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Réserves (local par local)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876"/>
        <w:gridCol w:w="1752"/>
        <w:gridCol w:w="4380"/>
        <w:gridCol w:w="876"/>
        <w:gridCol w:w="1752"/>
      </w:tblGrid>
      <w:tr>
        <w:tc>
          <w:tcPr>
            <w:tcW w:w="87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N°</w:t>
            </w:r>
          </w:p>
        </w:tc>
        <w:tc>
          <w:tcPr>
            <w:tcW w:w="175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Local</w:t>
            </w:r>
          </w:p>
        </w:tc>
        <w:tc>
          <w:tcPr>
            <w:tcW w:w="4380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Nature du défaut / réserve</w:t>
            </w:r>
          </w:p>
        </w:tc>
        <w:tc>
          <w:tcPr>
            <w:tcW w:w="87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Photo n°</w:t>
            </w:r>
          </w:p>
        </w:tc>
        <w:tc>
          <w:tcPr>
            <w:tcW w:w="175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Délai de levée</w:t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38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38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38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38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38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Garanties et retenue de garantie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Rappel : retenue de garantie de 5 % maximum, libérée 1 an après la réception sauf opposition motivée.</w:t>
      </w:r>
    </w:p>
    <w:p>
      <w:pPr>
        <w:spacing w:before="0" w:after="120"/>
      </w:pPr>
      <w:r>
        <w:rPr>
          <w:b/>
          <w:sz w:val="22"/>
          <w:szCs w:val="22"/>
        </w:rPr>
        <w:t xml:space="preserve">Retenue de garantie appliquée (%)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Montant consigné (€)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Signatures des parties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3855"/>
        <w:gridCol w:w="2891"/>
        <w:gridCol w:w="2891"/>
      </w:tblGrid>
      <w:tr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Maître d'ouvrage</w:t>
            </w:r>
          </w:p>
        </w:tc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Maître d'œuvre</w:t>
            </w:r>
          </w:p>
        </w:tc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Entreprise(s)</w:t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