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spacing w:before="0" w:after="40"/>
      </w:pPr>
      <w:r>
        <w:rPr>
          <w:b/>
          <w:color w:val="1B4332"/>
          <w:sz w:val="40"/>
          <w:szCs w:val="40"/>
        </w:rPr>
        <w:t xml:space="preserve">Rapport de visite — commission de sécurité (ERP)</w:t>
      </w:r>
    </w:p>
    <w:p>
      <w:pPr>
        <w:spacing w:before="0" w:after="200"/>
      </w:pPr>
      <w:r>
        <w:rPr>
          <w:color w:val="6C757D"/>
          <w:sz w:val="20"/>
          <w:szCs w:val="20"/>
        </w:rPr>
        <w:t xml:space="preserve">Modèle de rapport de visite ERP — observations, prescriptions et proposition d'avis.</w:t>
      </w:r>
    </w:p>
    <w:p>
      <w:pPr>
        <w:spacing w:before="0" w:after="160"/>
      </w:pPr>
      <w:r>
        <w:rPr>
          <w:i/>
          <w:color w:val="6C757D"/>
          <w:sz w:val="18"/>
          <w:szCs w:val="18"/>
        </w:rPr>
        <w:t xml:space="preserve">ℹ  Cadre : règlement de sécurité contre l'incendie dans les ERP (arrêté du 25 juin 1980). La commission PROPOSE un avis ; la décision d'ouverture / maintien relève de l'autorité de police (maire ou préfet).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1. Identification de l'établissement</w:t>
      </w:r>
    </w:p>
    <w:p>
      <w:pPr>
        <w:spacing w:before="0" w:after="120"/>
      </w:pPr>
      <w:r>
        <w:rPr>
          <w:b/>
          <w:sz w:val="22"/>
          <w:szCs w:val="22"/>
        </w:rPr>
        <w:t xml:space="preserve">Nom et adresse de l'ERP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Exploitant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Type(s)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Catégorie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Effectif (public / personnel)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0" w:after="120"/>
      </w:pPr>
      <w:r>
        <w:rPr>
          <w:b/>
          <w:sz w:val="22"/>
          <w:szCs w:val="22"/>
        </w:rPr>
        <w:t xml:space="preserve">Objet de la visite (ouverture / périodique / réception)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2. Constats par installation de sécurité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3504"/>
        <w:gridCol w:w="2628"/>
        <w:gridCol w:w="876"/>
        <w:gridCol w:w="2628"/>
      </w:tblGrid>
      <w:tr>
        <w:tc>
          <w:tcPr>
            <w:tcW w:w="3504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Installation</w:t>
            </w:r>
          </w:p>
        </w:tc>
        <w:tc>
          <w:tcPr>
            <w:tcW w:w="2628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Constat</w:t>
            </w:r>
          </w:p>
        </w:tc>
        <w:tc>
          <w:tcPr>
            <w:tcW w:w="87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Conforme (O/N)</w:t>
            </w:r>
          </w:p>
        </w:tc>
        <w:tc>
          <w:tcPr>
            <w:tcW w:w="2628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Observation</w:t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Dégagements et issues de secours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Désenfumage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Installations électriques / éclairage de sécurité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Système de sécurité incendie (SSI)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Moyens de secours (extincteurs, RIA, alarme)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3504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>Registre de sécurité / organisation</w:t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7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628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3. Prescriptions</w:t>
      </w:r>
    </w:p>
    <w:tbl>
      <w:tblPr>
        <w:tblW w:w="9636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803"/>
        <w:gridCol w:w="3212"/>
        <w:gridCol w:w="3212"/>
        <w:gridCol w:w="803"/>
        <w:gridCol w:w="1606"/>
      </w:tblGrid>
      <w:tr>
        <w:tc>
          <w:tcPr>
            <w:tcW w:w="80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N°</w:t>
            </w:r>
          </w:p>
        </w:tc>
        <w:tc>
          <w:tcPr>
            <w:tcW w:w="321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Non-conformité constatée</w:t>
            </w:r>
          </w:p>
        </w:tc>
        <w:tc>
          <w:tcPr>
            <w:tcW w:w="3212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Prescription</w:t>
            </w:r>
          </w:p>
        </w:tc>
        <w:tc>
          <w:tcPr>
            <w:tcW w:w="803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Délai</w:t>
            </w:r>
          </w:p>
        </w:tc>
        <w:tc>
          <w:tcPr>
            <w:tcW w:w="1606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Référence</w:t>
            </w:r>
          </w:p>
        </w:tc>
      </w:tr>
      <w:tr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212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803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606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4. Proposition d'avis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Avis favorable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Avis favorable avec prescriptions</w:t>
      </w:r>
    </w:p>
    <w:p>
      <w:pPr>
        <w:spacing w:before="0" w:after="60"/>
      </w:pPr>
      <w:r>
        <w:rPr>
          <w:sz w:val="24"/>
          <w:szCs w:val="24"/>
        </w:rPr>
        <w:t xml:space="preserve">☐  </w:t>
      </w:r>
      <w:r>
        <w:rPr>
          <w:sz w:val="22"/>
          <w:szCs w:val="22"/>
        </w:rPr>
        <w:t xml:space="preserve">Avis défavorable</w:t>
      </w:r>
    </w:p>
    <w:p>
      <w:pPr>
        <w:spacing w:before="0" w:after="120"/>
      </w:pPr>
      <w:r>
        <w:rPr>
          <w:b/>
          <w:sz w:val="22"/>
          <w:szCs w:val="22"/>
        </w:rPr>
        <w:t xml:space="preserve">Motivation de l'avis : </w:t>
      </w:r>
      <w:r>
        <w:rPr>
          <w:color w:val="ADB5BD"/>
          <w:sz w:val="22"/>
          <w:szCs w:val="22"/>
        </w:rPr>
        <w:t xml:space="preserve">…………………………………………………………………</w:t>
      </w:r>
    </w:p>
    <w:p>
      <w:pPr>
        <w:spacing w:before="260" w:after="120"/>
      </w:pPr>
      <w:r>
        <w:rPr>
          <w:b/>
          <w:color w:val="1B4332"/>
          <w:sz w:val="28"/>
          <w:szCs w:val="28"/>
        </w:rPr>
        <w:t xml:space="preserve">5. Signatures</w:t>
      </w:r>
    </w:p>
    <w:tbl>
      <w:tblPr>
        <w:tblW w:w="9638" w:type="dxa"/>
        <w:tblBorders>
          <w:top w:val="single" w:sz="4" w:space="0" w:color="DEE2E6"/>
          <w:left w:val="single" w:sz="4" w:space="0" w:color="DEE2E6"/>
          <w:bottom w:val="single" w:sz="4" w:space="0" w:color="DEE2E6"/>
          <w:right w:val="single" w:sz="4" w:space="0" w:color="DEE2E6"/>
          <w:insideH w:val="single" w:sz="4" w:space="0" w:color="DEE2E6"/>
          <w:insideV w:val="single" w:sz="4" w:space="0" w:color="DEE2E6"/>
        </w:tblBorders>
        <w:tblLook w:firstRow="1"/>
      </w:tblPr>
      <w:tblGrid>
        <w:gridCol w:w="4819"/>
        <w:gridCol w:w="4819"/>
      </w:tblGrid>
      <w:tr>
        <w:tc>
          <w:tcPr>
            <w:tcW w:w="4819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Le rapporteur</w:t>
            </w:r>
          </w:p>
        </w:tc>
        <w:tc>
          <w:tcPr>
            <w:tcW w:w="4819" w:type="dxa"/>
            <w:shd w:val="clear" w:color="auto" w:fill="1B4332"/>
            <w:vAlign w:val="center"/>
          </w:tcPr>
          <w:p>
            <w:pPr>
              <w:spacing w:before="30" w:after="30"/>
            </w:pPr>
            <w:r>
              <w:rPr>
                <w:b/>
                <w:color w:val="FFFFFF"/>
                <w:sz w:val="20"/>
                <w:szCs w:val="20"/>
              </w:rPr>
              <w:t xml:space="preserve">Le président de la commission</w:t>
            </w:r>
          </w:p>
        </w:tc>
      </w:tr>
      <w:tr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4819" w:type="dxa"/>
            <w:vAlign w:val="center"/>
          </w:tcPr>
          <w:p>
            <w:pPr>
              <w:spacing w:before="30" w:after="3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rPr>
          <w:sz w:val="22"/>
          <w:szCs w:val="22"/>
        </w:rPr>
        <w:t xml:space="preserve"/>
      </w:r>
    </w:p>
    <w:p>
      <w:pPr>
        <w:spacing w:before="400" w:after="120"/>
      </w:pPr>
      <w:r>
        <w:rPr>
          <w:i/>
          <w:color w:val="6C757D"/>
          <w:sz w:val="18"/>
          <w:szCs w:val="18"/>
        </w:rPr>
        <w:t xml:space="preserve">Modèle gratuit fourni par VoxActe — dictez ce rapport directement sur le terrain et générez-le automatiquement (rapport conforme prêt à signer) sur voxacte.com.</w:t>
      </w:r>
    </w:p>
    <w:sectPr>
      <w:pgSz w:w="11906" w:h="16838"/>
      <w:pgMar w:top="1134" w:right="1134" w:bottom="1134" w:left="1134"/>
    </w:sectPr>
  </w:body>
</w:document>
</file>

<file path=word/numbering.xml><?xml version="1.0" encoding="utf-8"?>
<w:numbering xmlns:w="http://schemas.openxmlformats.org/wordprocessingml/2006/main">
  <w:abstractNum w:abstractNumId="0">
    <w:lvl w:ilvl="0">
      <w:numFmt w:val="bullet"/>
      <w:lvlText w:val="•"/>
      <w:lvlJc w:val="left"/>
      <w:pPr>
        <w:ind w:left="360" w:hanging="360"/>
      </w:pPr>
    </w:lvl>
  </w:abstractNum>
  <w:num w:numId="1">
    <w:abstractNumId w:val="0"/>
  </w:num>
</w:numbering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numbering" Target="numbering.xml"/>
</Relationships>
</file>