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Rapport d'expertise — sinistre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de rapport (dégât des eaux, incendie, IRD) — à adapter au cabinet.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Distinguer la valeur de remise en état, l'abattement de vétusté éventuel et le montant indemnisable net. En immeuble, vérifier le cadre conventionnel IRSI (tranche 1 : ≤ 1 600 € HT ; tranche 2 : 1 600–5 000 € HT).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Référence et contexte</w:t>
      </w:r>
    </w:p>
    <w:p>
      <w:pPr>
        <w:spacing w:before="0" w:after="120"/>
      </w:pPr>
      <w:r>
        <w:rPr>
          <w:b/>
          <w:sz w:val="22"/>
          <w:szCs w:val="22"/>
        </w:rPr>
        <w:t xml:space="preserve">N° de sinistre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Assuré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Adresse du risque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N° de police / garantie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du sinistre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de la visite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Cadre (IRSI tranche 1 / 2 / droit commun)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Cause du sinistre</w:t>
      </w:r>
    </w:p>
    <w:p>
      <w:pPr>
        <w:spacing w:before="0" w:after="120"/>
      </w:pPr>
      <w:r>
        <w:rPr>
          <w:b/>
          <w:sz w:val="22"/>
          <w:szCs w:val="22"/>
        </w:rPr>
        <w:t xml:space="preserve">Origine identifiée (recherche de fuite, etc.)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Description et chiffrage des dommages par poste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Une ligne par poste ; rattacher la photo correspondante.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1606"/>
        <w:gridCol w:w="1606"/>
        <w:gridCol w:w="3212"/>
        <w:gridCol w:w="803"/>
        <w:gridCol w:w="803"/>
        <w:gridCol w:w="1606"/>
      </w:tblGrid>
      <w:tr>
        <w:tc>
          <w:tcPr>
            <w:tcW w:w="160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Poste</w:t>
            </w:r>
          </w:p>
        </w:tc>
        <w:tc>
          <w:tcPr>
            <w:tcW w:w="160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Localisation</w:t>
            </w:r>
          </w:p>
        </w:tc>
        <w:tc>
          <w:tcPr>
            <w:tcW w:w="321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Description du dommage</w:t>
            </w:r>
          </w:p>
        </w:tc>
        <w:tc>
          <w:tcPr>
            <w:tcW w:w="80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Photo n°</w:t>
            </w:r>
          </w:p>
        </w:tc>
        <w:tc>
          <w:tcPr>
            <w:tcW w:w="80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Vétusté %</w:t>
            </w:r>
          </w:p>
        </w:tc>
        <w:tc>
          <w:tcPr>
            <w:tcW w:w="160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Montant HT (€)</w:t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Récapitulatif du chiffrage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5782"/>
        <w:gridCol w:w="3855"/>
      </w:tblGrid>
      <w:tr>
        <w:tc>
          <w:tcPr>
            <w:tcW w:w="578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Montant (€)</w:t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Total remise en état (HT)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Abattement vétusté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Franchise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Montant indemnisable net</w:t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Responsabilités (le cas échéant)</w:t>
      </w:r>
    </w:p>
    <w:p>
      <w:pPr>
        <w:spacing w:before="0" w:after="120"/>
      </w:pPr>
      <w:r>
        <w:rPr>
          <w:b/>
          <w:sz w:val="22"/>
          <w:szCs w:val="22"/>
        </w:rPr>
        <w:t xml:space="preserve">Détermination des responsabilités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6. Conclusion et préconisations</w:t>
      </w:r>
    </w:p>
    <w:p>
      <w:pPr>
        <w:spacing w:before="0" w:after="120"/>
      </w:pPr>
      <w:r>
        <w:rPr>
          <w:b/>
          <w:sz w:val="22"/>
          <w:szCs w:val="22"/>
        </w:rPr>
        <w:t xml:space="preserve">Synthèse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Réserves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Préconisations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160" w:after="120"/>
      </w:pPr>
      <w:r>
        <w:rPr>
          <w:b/>
          <w:sz w:val="22"/>
          <w:szCs w:val="22"/>
        </w:rPr>
        <w:t xml:space="preserve">Signature de l'expert : </w:t>
      </w:r>
      <w:r>
        <w:rPr>
          <w:color w:val="ADB5BD"/>
          <w:sz w:val="22"/>
          <w:szCs w:val="22"/>
        </w:rPr>
        <w:t xml:space="preserve">……………………………………</w:t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